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919FE" w14:textId="77777777" w:rsidR="00A04F56" w:rsidRDefault="005D05D2">
      <w:pPr>
        <w:rPr>
          <w:lang w:val="en-CA"/>
        </w:rPr>
      </w:pPr>
      <w:r>
        <w:rPr>
          <w:lang w:val="en-CA"/>
        </w:rPr>
        <w:t>Stephanie Read- T00222193</w:t>
      </w:r>
    </w:p>
    <w:p w14:paraId="0B971046" w14:textId="77777777" w:rsidR="005D05D2" w:rsidRDefault="005D05D2">
      <w:pPr>
        <w:rPr>
          <w:lang w:val="en-CA"/>
        </w:rPr>
      </w:pPr>
    </w:p>
    <w:p w14:paraId="3D580F98" w14:textId="3B5139A1" w:rsidR="005D05D2" w:rsidRPr="00D73729" w:rsidRDefault="00101EC7" w:rsidP="00E921EA">
      <w:pPr>
        <w:ind w:firstLine="720"/>
        <w:rPr>
          <w:rFonts w:ascii="Times New Roman" w:hAnsi="Times New Roman" w:cs="Times New Roman"/>
          <w:lang w:val="en-CA"/>
        </w:rPr>
      </w:pPr>
      <w:r w:rsidRPr="00D73729">
        <w:rPr>
          <w:rFonts w:ascii="Times New Roman" w:hAnsi="Times New Roman" w:cs="Times New Roman"/>
          <w:lang w:val="en-CA"/>
        </w:rPr>
        <w:t xml:space="preserve">In Allan Greer, </w:t>
      </w:r>
      <w:r w:rsidRPr="00D73729">
        <w:rPr>
          <w:rFonts w:ascii="Times New Roman" w:hAnsi="Times New Roman" w:cs="Times New Roman"/>
          <w:i/>
          <w:lang w:val="en-CA"/>
        </w:rPr>
        <w:t>From Folklore to Revolution: Charivaris and the Lower Canadian Rebellion of 1837</w:t>
      </w:r>
      <w:r w:rsidRPr="00D73729">
        <w:rPr>
          <w:rFonts w:ascii="Times New Roman" w:hAnsi="Times New Roman" w:cs="Times New Roman"/>
          <w:lang w:val="en-CA"/>
        </w:rPr>
        <w:t xml:space="preserve">, </w:t>
      </w:r>
      <w:r w:rsidR="00E921EA" w:rsidRPr="00D73729">
        <w:rPr>
          <w:rFonts w:ascii="Times New Roman" w:hAnsi="Times New Roman" w:cs="Times New Roman"/>
          <w:lang w:val="en-CA"/>
        </w:rPr>
        <w:t>th</w:t>
      </w:r>
      <w:r w:rsidR="00915897" w:rsidRPr="00D73729">
        <w:rPr>
          <w:rFonts w:ascii="Times New Roman" w:hAnsi="Times New Roman" w:cs="Times New Roman"/>
          <w:lang w:val="en-CA"/>
        </w:rPr>
        <w:t>ere are two different kinds of c</w:t>
      </w:r>
      <w:r w:rsidR="00E921EA" w:rsidRPr="00D73729">
        <w:rPr>
          <w:rFonts w:ascii="Times New Roman" w:hAnsi="Times New Roman" w:cs="Times New Roman"/>
          <w:lang w:val="en-CA"/>
        </w:rPr>
        <w:t>harivaris discussed.  In this artic</w:t>
      </w:r>
      <w:r w:rsidR="005A010A" w:rsidRPr="00D73729">
        <w:rPr>
          <w:rFonts w:ascii="Times New Roman" w:hAnsi="Times New Roman" w:cs="Times New Roman"/>
          <w:lang w:val="en-CA"/>
        </w:rPr>
        <w:t>le the types of charivaris</w:t>
      </w:r>
      <w:r w:rsidR="00E921EA" w:rsidRPr="00D73729">
        <w:rPr>
          <w:rFonts w:ascii="Times New Roman" w:hAnsi="Times New Roman" w:cs="Times New Roman"/>
          <w:lang w:val="en-CA"/>
        </w:rPr>
        <w:t xml:space="preserve"> distinguished</w:t>
      </w:r>
      <w:r w:rsidR="005A010A" w:rsidRPr="00D73729">
        <w:rPr>
          <w:rFonts w:ascii="Times New Roman" w:hAnsi="Times New Roman" w:cs="Times New Roman"/>
          <w:lang w:val="en-CA"/>
        </w:rPr>
        <w:t xml:space="preserve"> are an opposition of an</w:t>
      </w:r>
      <w:r w:rsidR="00E921EA" w:rsidRPr="00D73729">
        <w:rPr>
          <w:rFonts w:ascii="Times New Roman" w:hAnsi="Times New Roman" w:cs="Times New Roman"/>
          <w:lang w:val="en-CA"/>
        </w:rPr>
        <w:t xml:space="preserve"> ill-fitted marriage and the other a political charivari.  </w:t>
      </w:r>
      <w:r w:rsidR="00915897" w:rsidRPr="00D73729">
        <w:rPr>
          <w:rFonts w:ascii="Times New Roman" w:hAnsi="Times New Roman" w:cs="Times New Roman"/>
          <w:lang w:val="en-CA"/>
        </w:rPr>
        <w:t xml:space="preserve">Both of these charivaris were used to </w:t>
      </w:r>
      <w:r w:rsidR="005A010A" w:rsidRPr="00D73729">
        <w:rPr>
          <w:rFonts w:ascii="Times New Roman" w:hAnsi="Times New Roman" w:cs="Times New Roman"/>
          <w:lang w:val="en-CA"/>
        </w:rPr>
        <w:t xml:space="preserve">threaten the targeted party to obtain the intended outcome of those who are acting for the charivaris.  </w:t>
      </w:r>
      <w:r w:rsidR="00AB24F8" w:rsidRPr="00D73729">
        <w:rPr>
          <w:rFonts w:ascii="Times New Roman" w:hAnsi="Times New Roman" w:cs="Times New Roman"/>
          <w:lang w:val="en-CA"/>
        </w:rPr>
        <w:t>In respect to the marriage charivaris and the political charivaris there are many similarities and diffe</w:t>
      </w:r>
      <w:r w:rsidR="0033339A" w:rsidRPr="00D73729">
        <w:rPr>
          <w:rFonts w:ascii="Times New Roman" w:hAnsi="Times New Roman" w:cs="Times New Roman"/>
          <w:lang w:val="en-CA"/>
        </w:rPr>
        <w:t>rences that will be discussed and how this use of power was put into play with the rebellion of lower Canada.</w:t>
      </w:r>
    </w:p>
    <w:p w14:paraId="62C85AD3" w14:textId="0552B145" w:rsidR="0033339A" w:rsidRDefault="00054F5A" w:rsidP="00E921EA">
      <w:pPr>
        <w:ind w:firstLine="720"/>
        <w:rPr>
          <w:rFonts w:ascii="Times New Roman" w:hAnsi="Times New Roman" w:cs="Times New Roman"/>
          <w:lang w:val="en-CA"/>
        </w:rPr>
      </w:pPr>
      <w:r w:rsidRPr="00D73729">
        <w:rPr>
          <w:rFonts w:ascii="Times New Roman" w:hAnsi="Times New Roman" w:cs="Times New Roman"/>
          <w:lang w:val="en-CA"/>
        </w:rPr>
        <w:t>The chariva</w:t>
      </w:r>
      <w:r w:rsidR="008F5435" w:rsidRPr="00D73729">
        <w:rPr>
          <w:rFonts w:ascii="Times New Roman" w:hAnsi="Times New Roman" w:cs="Times New Roman"/>
          <w:lang w:val="en-CA"/>
        </w:rPr>
        <w:t xml:space="preserve">ris in Canada was used as a form of treatment when there was a marriage that seemed to be mismatched.  This means “either the groom was much older than the bride or </w:t>
      </w:r>
      <w:proofErr w:type="spellStart"/>
      <w:r w:rsidR="008F5435" w:rsidRPr="00D73729">
        <w:rPr>
          <w:rFonts w:ascii="Times New Roman" w:hAnsi="Times New Roman" w:cs="Times New Roman"/>
          <w:lang w:val="en-CA"/>
        </w:rPr>
        <w:t>vise</w:t>
      </w:r>
      <w:proofErr w:type="spellEnd"/>
      <w:r w:rsidR="008F5435" w:rsidRPr="00D73729">
        <w:rPr>
          <w:rFonts w:ascii="Times New Roman" w:hAnsi="Times New Roman" w:cs="Times New Roman"/>
          <w:lang w:val="en-CA"/>
        </w:rPr>
        <w:t xml:space="preserve"> versa, or else on of the partners had been previously married”</w:t>
      </w:r>
      <w:r w:rsidR="00D73729">
        <w:rPr>
          <w:rStyle w:val="FootnoteReference"/>
          <w:rFonts w:ascii="Times New Roman" w:hAnsi="Times New Roman" w:cs="Times New Roman"/>
          <w:lang w:val="en-CA"/>
        </w:rPr>
        <w:footnoteReference w:id="1"/>
      </w:r>
      <w:r w:rsidR="00BA72D1">
        <w:rPr>
          <w:rFonts w:ascii="Times New Roman" w:hAnsi="Times New Roman" w:cs="Times New Roman"/>
          <w:lang w:val="en-CA"/>
        </w:rPr>
        <w:t xml:space="preserve">.  </w:t>
      </w:r>
      <w:r w:rsidR="00634832">
        <w:rPr>
          <w:rFonts w:ascii="Times New Roman" w:hAnsi="Times New Roman" w:cs="Times New Roman"/>
          <w:lang w:val="en-CA"/>
        </w:rPr>
        <w:t xml:space="preserve">A charivaris </w:t>
      </w:r>
      <w:r w:rsidR="00156E05">
        <w:rPr>
          <w:rFonts w:ascii="Times New Roman" w:hAnsi="Times New Roman" w:cs="Times New Roman"/>
          <w:lang w:val="en-CA"/>
        </w:rPr>
        <w:t>was then used to publicly shame the couple of their sins.  The way a charivaris worked was that they would show up</w:t>
      </w:r>
      <w:r w:rsidR="001E151F">
        <w:rPr>
          <w:rFonts w:ascii="Times New Roman" w:hAnsi="Times New Roman" w:cs="Times New Roman"/>
          <w:lang w:val="en-CA"/>
        </w:rPr>
        <w:t xml:space="preserve"> to your home, night after night</w:t>
      </w:r>
      <w:r w:rsidR="00156E05">
        <w:rPr>
          <w:rFonts w:ascii="Times New Roman" w:hAnsi="Times New Roman" w:cs="Times New Roman"/>
          <w:lang w:val="en-CA"/>
        </w:rPr>
        <w:t xml:space="preserve">, </w:t>
      </w:r>
      <w:r w:rsidR="00D645D5">
        <w:rPr>
          <w:rFonts w:ascii="Times New Roman" w:hAnsi="Times New Roman" w:cs="Times New Roman"/>
          <w:lang w:val="en-CA"/>
        </w:rPr>
        <w:t>banging on pots and pans and requesting a monetary payment</w:t>
      </w:r>
      <w:r w:rsidR="00D645D5">
        <w:rPr>
          <w:rStyle w:val="FootnoteReference"/>
          <w:rFonts w:ascii="Times New Roman" w:hAnsi="Times New Roman" w:cs="Times New Roman"/>
          <w:lang w:val="en-CA"/>
        </w:rPr>
        <w:footnoteReference w:id="2"/>
      </w:r>
      <w:r w:rsidR="00FC44C5">
        <w:rPr>
          <w:rFonts w:ascii="Times New Roman" w:hAnsi="Times New Roman" w:cs="Times New Roman"/>
          <w:lang w:val="en-CA"/>
        </w:rPr>
        <w:t xml:space="preserve">.  </w:t>
      </w:r>
      <w:r w:rsidR="002C713A">
        <w:rPr>
          <w:rFonts w:ascii="Times New Roman" w:hAnsi="Times New Roman" w:cs="Times New Roman"/>
          <w:lang w:val="en-CA"/>
        </w:rPr>
        <w:t>It is important to note that each night a charivaris would escalate their demonstration to put pressure on the married couple to get their expected outcome, which was payment</w:t>
      </w:r>
      <w:r w:rsidR="002C713A">
        <w:rPr>
          <w:rStyle w:val="FootnoteReference"/>
          <w:rFonts w:ascii="Times New Roman" w:hAnsi="Times New Roman" w:cs="Times New Roman"/>
          <w:lang w:val="en-CA"/>
        </w:rPr>
        <w:footnoteReference w:id="3"/>
      </w:r>
      <w:r w:rsidR="002C713A">
        <w:rPr>
          <w:rFonts w:ascii="Times New Roman" w:hAnsi="Times New Roman" w:cs="Times New Roman"/>
          <w:lang w:val="en-CA"/>
        </w:rPr>
        <w:t xml:space="preserve">. </w:t>
      </w:r>
      <w:r w:rsidR="00FC44C5">
        <w:rPr>
          <w:rFonts w:ascii="Times New Roman" w:hAnsi="Times New Roman" w:cs="Times New Roman"/>
          <w:lang w:val="en-CA"/>
        </w:rPr>
        <w:t xml:space="preserve">It wasn’t until the payment was made that the charivaris would </w:t>
      </w:r>
      <w:r w:rsidR="001E151F">
        <w:rPr>
          <w:rFonts w:ascii="Times New Roman" w:hAnsi="Times New Roman" w:cs="Times New Roman"/>
          <w:lang w:val="en-CA"/>
        </w:rPr>
        <w:t>submit.</w:t>
      </w:r>
      <w:r w:rsidR="00AB4424">
        <w:rPr>
          <w:rFonts w:ascii="Times New Roman" w:hAnsi="Times New Roman" w:cs="Times New Roman"/>
          <w:lang w:val="en-CA"/>
        </w:rPr>
        <w:t xml:space="preserve">  An interesting question to be asked is how did the charivaris know if the marriage was o</w:t>
      </w:r>
      <w:r w:rsidR="00C20FEF">
        <w:rPr>
          <w:rFonts w:ascii="Times New Roman" w:hAnsi="Times New Roman" w:cs="Times New Roman"/>
          <w:lang w:val="en-CA"/>
        </w:rPr>
        <w:t xml:space="preserve">ut of sin and not out of love?  </w:t>
      </w:r>
      <w:r w:rsidR="000A7528">
        <w:rPr>
          <w:rFonts w:ascii="Times New Roman" w:hAnsi="Times New Roman" w:cs="Times New Roman"/>
          <w:lang w:val="en-CA"/>
        </w:rPr>
        <w:t>The second type of charivaris was that of political manipulation.</w:t>
      </w:r>
    </w:p>
    <w:p w14:paraId="1742B0B2" w14:textId="77777777" w:rsidR="00DD30C8" w:rsidRDefault="00064CC0" w:rsidP="00DD30C8">
      <w:pPr>
        <w:ind w:firstLine="720"/>
        <w:rPr>
          <w:rFonts w:ascii="Times New Roman" w:hAnsi="Times New Roman" w:cs="Times New Roman"/>
          <w:lang w:val="en-CA"/>
        </w:rPr>
      </w:pPr>
      <w:r>
        <w:rPr>
          <w:rFonts w:ascii="Times New Roman" w:hAnsi="Times New Roman" w:cs="Times New Roman"/>
          <w:lang w:val="en-CA"/>
        </w:rPr>
        <w:t>A political charivaris acted the same way as a marri</w:t>
      </w:r>
      <w:r w:rsidR="002F0075">
        <w:rPr>
          <w:rFonts w:ascii="Times New Roman" w:hAnsi="Times New Roman" w:cs="Times New Roman"/>
          <w:lang w:val="en-CA"/>
        </w:rPr>
        <w:t>age charivari</w:t>
      </w:r>
      <w:r w:rsidR="00AF6439">
        <w:rPr>
          <w:rFonts w:ascii="Times New Roman" w:hAnsi="Times New Roman" w:cs="Times New Roman"/>
          <w:lang w:val="en-CA"/>
        </w:rPr>
        <w:t xml:space="preserve"> in the fact that they both acted in a form of manipulation to give up something.  </w:t>
      </w:r>
      <w:r w:rsidR="002F0075">
        <w:rPr>
          <w:rFonts w:ascii="Times New Roman" w:hAnsi="Times New Roman" w:cs="Times New Roman"/>
          <w:lang w:val="en-CA"/>
        </w:rPr>
        <w:t>The political charivari</w:t>
      </w:r>
      <w:r w:rsidR="003C16AB">
        <w:rPr>
          <w:rFonts w:ascii="Times New Roman" w:hAnsi="Times New Roman" w:cs="Times New Roman"/>
          <w:lang w:val="en-CA"/>
        </w:rPr>
        <w:t xml:space="preserve">s took placed in Lower Canada in </w:t>
      </w:r>
      <w:r w:rsidR="00B42A1C">
        <w:rPr>
          <w:rFonts w:ascii="Times New Roman" w:hAnsi="Times New Roman" w:cs="Times New Roman"/>
          <w:lang w:val="en-CA"/>
        </w:rPr>
        <w:t>1837 when the “middle-class radicals of the ‘Patriot party</w:t>
      </w:r>
      <w:r w:rsidR="002F13AC">
        <w:rPr>
          <w:rFonts w:ascii="Times New Roman" w:hAnsi="Times New Roman" w:cs="Times New Roman"/>
          <w:lang w:val="en-CA"/>
        </w:rPr>
        <w:t>’”</w:t>
      </w:r>
      <w:r w:rsidR="002F13AC">
        <w:rPr>
          <w:rStyle w:val="FootnoteReference"/>
          <w:rFonts w:ascii="Times New Roman" w:hAnsi="Times New Roman" w:cs="Times New Roman"/>
          <w:lang w:val="en-CA"/>
        </w:rPr>
        <w:footnoteReference w:id="4"/>
      </w:r>
      <w:r w:rsidR="002F13AC">
        <w:rPr>
          <w:rFonts w:ascii="Times New Roman" w:hAnsi="Times New Roman" w:cs="Times New Roman"/>
          <w:lang w:val="en-CA"/>
        </w:rPr>
        <w:t xml:space="preserve"> wanted to have colonial independence</w:t>
      </w:r>
      <w:r w:rsidR="00EF2994">
        <w:rPr>
          <w:rFonts w:ascii="Times New Roman" w:hAnsi="Times New Roman" w:cs="Times New Roman"/>
          <w:lang w:val="en-CA"/>
        </w:rPr>
        <w:t xml:space="preserve">.  </w:t>
      </w:r>
      <w:r w:rsidR="00EB4C64">
        <w:rPr>
          <w:rFonts w:ascii="Times New Roman" w:hAnsi="Times New Roman" w:cs="Times New Roman"/>
          <w:lang w:val="en-CA"/>
        </w:rPr>
        <w:t xml:space="preserve">The reason the </w:t>
      </w:r>
      <w:r w:rsidR="00C46F93">
        <w:rPr>
          <w:rFonts w:ascii="Times New Roman" w:hAnsi="Times New Roman" w:cs="Times New Roman"/>
          <w:lang w:val="en-CA"/>
        </w:rPr>
        <w:t xml:space="preserve">rebellions of 1867 were compared to a common charivari was because they behaved in a similar manner.  The radicals would go to </w:t>
      </w:r>
      <w:r w:rsidR="00C6009F">
        <w:rPr>
          <w:rFonts w:ascii="Times New Roman" w:hAnsi="Times New Roman" w:cs="Times New Roman"/>
          <w:lang w:val="en-CA"/>
        </w:rPr>
        <w:t>a home of a person who held any position of office and seek</w:t>
      </w:r>
      <w:r w:rsidR="00DD768A">
        <w:rPr>
          <w:rFonts w:ascii="Times New Roman" w:hAnsi="Times New Roman" w:cs="Times New Roman"/>
          <w:lang w:val="en-CA"/>
        </w:rPr>
        <w:t xml:space="preserve"> resignation</w:t>
      </w:r>
      <w:r w:rsidR="00C6009F">
        <w:rPr>
          <w:rStyle w:val="FootnoteReference"/>
          <w:rFonts w:ascii="Times New Roman" w:hAnsi="Times New Roman" w:cs="Times New Roman"/>
          <w:lang w:val="en-CA"/>
        </w:rPr>
        <w:footnoteReference w:id="5"/>
      </w:r>
      <w:r w:rsidR="00DD768A">
        <w:rPr>
          <w:rFonts w:ascii="Times New Roman" w:hAnsi="Times New Roman" w:cs="Times New Roman"/>
          <w:lang w:val="en-CA"/>
        </w:rPr>
        <w:t>.  In the case of</w:t>
      </w:r>
      <w:r w:rsidR="00C6009F">
        <w:rPr>
          <w:rFonts w:ascii="Times New Roman" w:hAnsi="Times New Roman" w:cs="Times New Roman"/>
          <w:lang w:val="en-CA"/>
        </w:rPr>
        <w:t xml:space="preserve"> a Lieutenant that was in the Militia, the charivari would come to his house and “began yelling in the most frightful manner… [and] threw stones at [his] house and broke the greatest part of [the] windows”</w:t>
      </w:r>
      <w:r w:rsidR="00C6009F">
        <w:rPr>
          <w:rStyle w:val="FootnoteReference"/>
          <w:rFonts w:ascii="Times New Roman" w:hAnsi="Times New Roman" w:cs="Times New Roman"/>
          <w:lang w:val="en-CA"/>
        </w:rPr>
        <w:footnoteReference w:id="6"/>
      </w:r>
      <w:r w:rsidR="00C6009F">
        <w:rPr>
          <w:rFonts w:ascii="Times New Roman" w:hAnsi="Times New Roman" w:cs="Times New Roman"/>
          <w:lang w:val="en-CA"/>
        </w:rPr>
        <w:t>.</w:t>
      </w:r>
      <w:r w:rsidR="00FF794C">
        <w:rPr>
          <w:rFonts w:ascii="Times New Roman" w:hAnsi="Times New Roman" w:cs="Times New Roman"/>
          <w:lang w:val="en-CA"/>
        </w:rPr>
        <w:t xml:space="preserve">  Each night the charivari would come back with more force and more people</w:t>
      </w:r>
      <w:r w:rsidR="00D473E6">
        <w:rPr>
          <w:rFonts w:ascii="Times New Roman" w:hAnsi="Times New Roman" w:cs="Times New Roman"/>
          <w:lang w:val="en-CA"/>
        </w:rPr>
        <w:t xml:space="preserve"> until the Lieutenant handed in his commission</w:t>
      </w:r>
      <w:r w:rsidR="00FF794C">
        <w:rPr>
          <w:rFonts w:ascii="Times New Roman" w:hAnsi="Times New Roman" w:cs="Times New Roman"/>
          <w:lang w:val="en-CA"/>
        </w:rPr>
        <w:t>s</w:t>
      </w:r>
      <w:r w:rsidR="00D473E6">
        <w:rPr>
          <w:rFonts w:ascii="Times New Roman" w:hAnsi="Times New Roman" w:cs="Times New Roman"/>
          <w:lang w:val="en-CA"/>
        </w:rPr>
        <w:t xml:space="preserve"> that the charivari </w:t>
      </w:r>
      <w:r w:rsidR="00FF794C">
        <w:rPr>
          <w:rFonts w:ascii="Times New Roman" w:hAnsi="Times New Roman" w:cs="Times New Roman"/>
          <w:lang w:val="en-CA"/>
        </w:rPr>
        <w:t>would leave his family alone</w:t>
      </w:r>
      <w:r w:rsidR="00FF794C">
        <w:rPr>
          <w:rStyle w:val="FootnoteReference"/>
          <w:rFonts w:ascii="Times New Roman" w:hAnsi="Times New Roman" w:cs="Times New Roman"/>
          <w:lang w:val="en-CA"/>
        </w:rPr>
        <w:footnoteReference w:id="7"/>
      </w:r>
      <w:r w:rsidR="00FF794C">
        <w:rPr>
          <w:rFonts w:ascii="Times New Roman" w:hAnsi="Times New Roman" w:cs="Times New Roman"/>
          <w:lang w:val="en-CA"/>
        </w:rPr>
        <w:t>.</w:t>
      </w:r>
      <w:r w:rsidR="00C31D95">
        <w:rPr>
          <w:rFonts w:ascii="Times New Roman" w:hAnsi="Times New Roman" w:cs="Times New Roman"/>
          <w:lang w:val="en-CA"/>
        </w:rPr>
        <w:t xml:space="preserve">  Even though the charivari was used to put fear in the opposing </w:t>
      </w:r>
      <w:r w:rsidR="00DD30C8">
        <w:rPr>
          <w:rFonts w:ascii="Times New Roman" w:hAnsi="Times New Roman" w:cs="Times New Roman"/>
          <w:lang w:val="en-CA"/>
        </w:rPr>
        <w:t>party, the intention of the charivari was not to harm anyone physically.</w:t>
      </w:r>
    </w:p>
    <w:p w14:paraId="4DF9DAFB" w14:textId="3A9378E9" w:rsidR="000A7528" w:rsidRPr="00D73729" w:rsidRDefault="00DD30C8" w:rsidP="00DD30C8">
      <w:pPr>
        <w:ind w:firstLine="720"/>
        <w:rPr>
          <w:rFonts w:ascii="Times New Roman" w:hAnsi="Times New Roman" w:cs="Times New Roman"/>
          <w:lang w:val="en-CA"/>
        </w:rPr>
      </w:pPr>
      <w:r>
        <w:rPr>
          <w:rFonts w:ascii="Times New Roman" w:hAnsi="Times New Roman" w:cs="Times New Roman"/>
          <w:lang w:val="en-CA"/>
        </w:rPr>
        <w:t xml:space="preserve">The two main differences between the two types of charivaris are that the political charivaris used stone-throwing and threats of </w:t>
      </w:r>
      <w:r w:rsidR="00453D52">
        <w:rPr>
          <w:rFonts w:ascii="Times New Roman" w:hAnsi="Times New Roman" w:cs="Times New Roman"/>
          <w:lang w:val="en-CA"/>
        </w:rPr>
        <w:t>severe</w:t>
      </w:r>
      <w:r>
        <w:rPr>
          <w:rFonts w:ascii="Times New Roman" w:hAnsi="Times New Roman" w:cs="Times New Roman"/>
          <w:lang w:val="en-CA"/>
        </w:rPr>
        <w:t xml:space="preserve"> violence</w:t>
      </w:r>
      <w:r>
        <w:rPr>
          <w:rStyle w:val="FootnoteReference"/>
          <w:rFonts w:ascii="Times New Roman" w:hAnsi="Times New Roman" w:cs="Times New Roman"/>
          <w:lang w:val="en-CA"/>
        </w:rPr>
        <w:footnoteReference w:id="8"/>
      </w:r>
      <w:r w:rsidR="00453D52">
        <w:rPr>
          <w:rFonts w:ascii="Times New Roman" w:hAnsi="Times New Roman" w:cs="Times New Roman"/>
          <w:lang w:val="en-CA"/>
        </w:rPr>
        <w:t xml:space="preserve">.  </w:t>
      </w:r>
      <w:r w:rsidR="00CF754E">
        <w:rPr>
          <w:rFonts w:ascii="Times New Roman" w:hAnsi="Times New Roman" w:cs="Times New Roman"/>
          <w:lang w:val="en-CA"/>
        </w:rPr>
        <w:t xml:space="preserve">Both marriage and political charivaris were intended to gain a result from the party who they were using the tactics for.  In the marriage charivaris the intended outcome was to show the impurity of the marriage and to cause humiliation whereas, the political charivaris was intended to create dominance against an </w:t>
      </w:r>
      <w:r w:rsidR="00CF754E">
        <w:rPr>
          <w:rFonts w:ascii="Times New Roman" w:hAnsi="Times New Roman" w:cs="Times New Roman"/>
          <w:lang w:val="en-CA"/>
        </w:rPr>
        <w:lastRenderedPageBreak/>
        <w:t xml:space="preserve">opposing party.  </w:t>
      </w:r>
      <w:r w:rsidR="006A66DF">
        <w:rPr>
          <w:rFonts w:ascii="Times New Roman" w:hAnsi="Times New Roman" w:cs="Times New Roman"/>
          <w:lang w:val="en-CA"/>
        </w:rPr>
        <w:t xml:space="preserve">In both cases of </w:t>
      </w:r>
      <w:r w:rsidR="00837273">
        <w:rPr>
          <w:rFonts w:ascii="Times New Roman" w:hAnsi="Times New Roman" w:cs="Times New Roman"/>
          <w:lang w:val="en-CA"/>
        </w:rPr>
        <w:t>charivaris,</w:t>
      </w:r>
      <w:r w:rsidR="006A66DF">
        <w:rPr>
          <w:rFonts w:ascii="Times New Roman" w:hAnsi="Times New Roman" w:cs="Times New Roman"/>
          <w:lang w:val="en-CA"/>
        </w:rPr>
        <w:t xml:space="preserve"> the use of </w:t>
      </w:r>
      <w:r w:rsidR="00A71AA4">
        <w:rPr>
          <w:rFonts w:ascii="Times New Roman" w:hAnsi="Times New Roman" w:cs="Times New Roman"/>
          <w:lang w:val="en-CA"/>
        </w:rPr>
        <w:t xml:space="preserve">harassment was used to get the intended outcome.  </w:t>
      </w:r>
      <w:r>
        <w:rPr>
          <w:rFonts w:ascii="Times New Roman" w:hAnsi="Times New Roman" w:cs="Times New Roman"/>
          <w:lang w:val="en-CA"/>
        </w:rPr>
        <w:t xml:space="preserve"> </w:t>
      </w:r>
      <w:r w:rsidR="00FF794C">
        <w:rPr>
          <w:rFonts w:ascii="Times New Roman" w:hAnsi="Times New Roman" w:cs="Times New Roman"/>
          <w:lang w:val="en-CA"/>
        </w:rPr>
        <w:t xml:space="preserve">  </w:t>
      </w:r>
      <w:r w:rsidR="00D473E6">
        <w:rPr>
          <w:rFonts w:ascii="Times New Roman" w:hAnsi="Times New Roman" w:cs="Times New Roman"/>
          <w:lang w:val="en-CA"/>
        </w:rPr>
        <w:t xml:space="preserve">  </w:t>
      </w:r>
      <w:r w:rsidR="00C46F93">
        <w:rPr>
          <w:rFonts w:ascii="Times New Roman" w:hAnsi="Times New Roman" w:cs="Times New Roman"/>
          <w:lang w:val="en-CA"/>
        </w:rPr>
        <w:t xml:space="preserve"> </w:t>
      </w:r>
      <w:r w:rsidR="002F13AC">
        <w:rPr>
          <w:rFonts w:ascii="Times New Roman" w:hAnsi="Times New Roman" w:cs="Times New Roman"/>
          <w:lang w:val="en-CA"/>
        </w:rPr>
        <w:t xml:space="preserve"> </w:t>
      </w:r>
      <w:bookmarkStart w:id="0" w:name="_GoBack"/>
      <w:bookmarkEnd w:id="0"/>
    </w:p>
    <w:sectPr w:rsidR="000A7528" w:rsidRPr="00D73729" w:rsidSect="00C8713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91F84" w14:textId="77777777" w:rsidR="00D56E34" w:rsidRDefault="00D56E34" w:rsidP="006934A4">
      <w:r>
        <w:separator/>
      </w:r>
    </w:p>
  </w:endnote>
  <w:endnote w:type="continuationSeparator" w:id="0">
    <w:p w14:paraId="5E40A260" w14:textId="77777777" w:rsidR="00D56E34" w:rsidRDefault="00D56E34" w:rsidP="0069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9F809" w14:textId="5F1835C4" w:rsidR="006934A4" w:rsidRDefault="006934A4" w:rsidP="00BA72D1">
    <w:pPr>
      <w:pStyle w:val="Footer"/>
    </w:pPr>
  </w:p>
  <w:p w14:paraId="1903083E" w14:textId="77777777" w:rsidR="006934A4" w:rsidRDefault="006934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8B52" w14:textId="77777777" w:rsidR="00D56E34" w:rsidRDefault="00D56E34" w:rsidP="006934A4">
      <w:r>
        <w:separator/>
      </w:r>
    </w:p>
  </w:footnote>
  <w:footnote w:type="continuationSeparator" w:id="0">
    <w:p w14:paraId="0DD73AFB" w14:textId="77777777" w:rsidR="00D56E34" w:rsidRDefault="00D56E34" w:rsidP="006934A4">
      <w:r>
        <w:continuationSeparator/>
      </w:r>
    </w:p>
  </w:footnote>
  <w:footnote w:id="1">
    <w:p w14:paraId="086AC335" w14:textId="27ECCCB2" w:rsidR="00D73729" w:rsidRPr="00D73729" w:rsidRDefault="00D73729">
      <w:pPr>
        <w:pStyle w:val="FootnoteText"/>
        <w:rPr>
          <w:lang w:val="en-CA"/>
        </w:rPr>
      </w:pPr>
      <w:r>
        <w:rPr>
          <w:rStyle w:val="FootnoteReference"/>
        </w:rPr>
        <w:footnoteRef/>
      </w:r>
      <w:r>
        <w:t xml:space="preserve"> </w:t>
      </w:r>
      <w:r w:rsidR="00BA72D1">
        <w:rPr>
          <w:rFonts w:ascii="Helvetica" w:hAnsi="Helvetica" w:cs="Helvetica"/>
          <w:color w:val="262626"/>
        </w:rPr>
        <w:t xml:space="preserve">Greer, Allan. "From folklore to Revolution: Charivaris and the Lower Canadian Rebellion of 1837." </w:t>
      </w:r>
      <w:r w:rsidR="00BA72D1">
        <w:rPr>
          <w:rFonts w:ascii="Helvetica" w:hAnsi="Helvetica" w:cs="Helvetica"/>
          <w:i/>
          <w:iCs/>
          <w:color w:val="262626"/>
        </w:rPr>
        <w:t>Social History</w:t>
      </w:r>
      <w:r w:rsidR="00BA72D1">
        <w:rPr>
          <w:rFonts w:ascii="Helvetica" w:hAnsi="Helvetica" w:cs="Helvetica"/>
          <w:color w:val="262626"/>
        </w:rPr>
        <w:t xml:space="preserve"> 15, no. 1 (January 1990): 27.</w:t>
      </w:r>
    </w:p>
  </w:footnote>
  <w:footnote w:id="2">
    <w:p w14:paraId="453E5EF4" w14:textId="7F14F362" w:rsidR="00D645D5" w:rsidRPr="00D645D5" w:rsidRDefault="00D645D5">
      <w:pPr>
        <w:pStyle w:val="FootnoteText"/>
        <w:rPr>
          <w:lang w:val="en-CA"/>
        </w:rPr>
      </w:pPr>
      <w:r>
        <w:rPr>
          <w:rStyle w:val="FootnoteReference"/>
        </w:rPr>
        <w:footnoteRef/>
      </w:r>
      <w:r>
        <w:t xml:space="preserve"> </w:t>
      </w:r>
      <w:r w:rsidR="00837273">
        <w:rPr>
          <w:lang w:val="en-CA"/>
        </w:rPr>
        <w:t>Ibid</w:t>
      </w:r>
      <w:r>
        <w:rPr>
          <w:lang w:val="en-CA"/>
        </w:rPr>
        <w:t>., 30.</w:t>
      </w:r>
    </w:p>
  </w:footnote>
  <w:footnote w:id="3">
    <w:p w14:paraId="126F0FA4" w14:textId="34D9ADDC" w:rsidR="002C713A" w:rsidRPr="002C713A" w:rsidRDefault="002C713A">
      <w:pPr>
        <w:pStyle w:val="FootnoteText"/>
        <w:rPr>
          <w:lang w:val="en-CA"/>
        </w:rPr>
      </w:pPr>
      <w:r>
        <w:rPr>
          <w:rStyle w:val="FootnoteReference"/>
        </w:rPr>
        <w:footnoteRef/>
      </w:r>
      <w:r>
        <w:t xml:space="preserve"> </w:t>
      </w:r>
      <w:r w:rsidR="00837273">
        <w:rPr>
          <w:lang w:val="en-CA"/>
        </w:rPr>
        <w:t>Ibid</w:t>
      </w:r>
      <w:r>
        <w:rPr>
          <w:lang w:val="en-CA"/>
        </w:rPr>
        <w:t>., 31.</w:t>
      </w:r>
    </w:p>
  </w:footnote>
  <w:footnote w:id="4">
    <w:p w14:paraId="384BD8D3" w14:textId="0CB94090" w:rsidR="002F13AC" w:rsidRPr="002F13AC" w:rsidRDefault="002F13AC">
      <w:pPr>
        <w:pStyle w:val="FootnoteText"/>
        <w:rPr>
          <w:lang w:val="en-CA"/>
        </w:rPr>
      </w:pPr>
      <w:r>
        <w:rPr>
          <w:rStyle w:val="FootnoteReference"/>
        </w:rPr>
        <w:footnoteRef/>
      </w:r>
      <w:r>
        <w:t xml:space="preserve"> </w:t>
      </w:r>
      <w:r w:rsidR="00837273">
        <w:rPr>
          <w:lang w:val="en-CA"/>
        </w:rPr>
        <w:t>Ibid</w:t>
      </w:r>
      <w:r>
        <w:rPr>
          <w:lang w:val="en-CA"/>
        </w:rPr>
        <w:t>., 34.</w:t>
      </w:r>
    </w:p>
  </w:footnote>
  <w:footnote w:id="5">
    <w:p w14:paraId="5C3C3B9E" w14:textId="0CC859FC" w:rsidR="00C6009F" w:rsidRPr="00C6009F" w:rsidRDefault="00C6009F">
      <w:pPr>
        <w:pStyle w:val="FootnoteText"/>
        <w:rPr>
          <w:lang w:val="en-CA"/>
        </w:rPr>
      </w:pPr>
      <w:r>
        <w:rPr>
          <w:rStyle w:val="FootnoteReference"/>
        </w:rPr>
        <w:footnoteRef/>
      </w:r>
      <w:r>
        <w:t xml:space="preserve"> </w:t>
      </w:r>
      <w:r w:rsidR="00837273">
        <w:rPr>
          <w:lang w:val="en-CA"/>
        </w:rPr>
        <w:t>Ibid</w:t>
      </w:r>
      <w:r>
        <w:rPr>
          <w:lang w:val="en-CA"/>
        </w:rPr>
        <w:t>., 37.</w:t>
      </w:r>
    </w:p>
  </w:footnote>
  <w:footnote w:id="6">
    <w:p w14:paraId="77A40738" w14:textId="5343BD08" w:rsidR="00C6009F" w:rsidRPr="00C6009F" w:rsidRDefault="00C6009F">
      <w:pPr>
        <w:pStyle w:val="FootnoteText"/>
        <w:rPr>
          <w:lang w:val="en-CA"/>
        </w:rPr>
      </w:pPr>
      <w:r>
        <w:rPr>
          <w:rStyle w:val="FootnoteReference"/>
        </w:rPr>
        <w:footnoteRef/>
      </w:r>
      <w:r>
        <w:t xml:space="preserve"> </w:t>
      </w:r>
      <w:r w:rsidR="00837273">
        <w:rPr>
          <w:lang w:val="en-CA"/>
        </w:rPr>
        <w:t>Ibid</w:t>
      </w:r>
      <w:r>
        <w:rPr>
          <w:lang w:val="en-CA"/>
        </w:rPr>
        <w:t>.</w:t>
      </w:r>
    </w:p>
  </w:footnote>
  <w:footnote w:id="7">
    <w:p w14:paraId="00821106" w14:textId="6E508930" w:rsidR="00FF794C" w:rsidRPr="00FF794C" w:rsidRDefault="00FF794C">
      <w:pPr>
        <w:pStyle w:val="FootnoteText"/>
        <w:rPr>
          <w:lang w:val="en-CA"/>
        </w:rPr>
      </w:pPr>
      <w:r>
        <w:rPr>
          <w:rStyle w:val="FootnoteReference"/>
        </w:rPr>
        <w:footnoteRef/>
      </w:r>
      <w:r>
        <w:t xml:space="preserve"> </w:t>
      </w:r>
      <w:r w:rsidR="00837273">
        <w:rPr>
          <w:lang w:val="en-CA"/>
        </w:rPr>
        <w:t>Ibid</w:t>
      </w:r>
      <w:r>
        <w:rPr>
          <w:lang w:val="en-CA"/>
        </w:rPr>
        <w:t>.</w:t>
      </w:r>
    </w:p>
  </w:footnote>
  <w:footnote w:id="8">
    <w:p w14:paraId="1EB4F6AA" w14:textId="3A61007B" w:rsidR="00DD30C8" w:rsidRPr="00DD30C8" w:rsidRDefault="00DD30C8">
      <w:pPr>
        <w:pStyle w:val="FootnoteText"/>
        <w:rPr>
          <w:lang w:val="en-CA"/>
        </w:rPr>
      </w:pPr>
      <w:r>
        <w:rPr>
          <w:rStyle w:val="FootnoteReference"/>
        </w:rPr>
        <w:footnoteRef/>
      </w:r>
      <w:r>
        <w:t xml:space="preserve"> </w:t>
      </w:r>
      <w:r w:rsidR="00837273">
        <w:rPr>
          <w:lang w:val="en-CA"/>
        </w:rPr>
        <w:t>Ibid</w:t>
      </w:r>
      <w:r>
        <w:rPr>
          <w:lang w:val="en-CA"/>
        </w:rPr>
        <w:t>., 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6521" w14:textId="07D970ED" w:rsidR="006934A4" w:rsidRPr="00D73729" w:rsidRDefault="00D73729">
    <w:pPr>
      <w:pStyle w:val="Header"/>
      <w:rPr>
        <w:rFonts w:ascii="Times New Roman" w:hAnsi="Times New Roman" w:cs="Times New Roman"/>
        <w:lang w:val="en-CA"/>
      </w:rPr>
    </w:pPr>
    <w:r>
      <w:rPr>
        <w:lang w:val="en-CA"/>
      </w:rPr>
      <w:tab/>
    </w:r>
    <w:r>
      <w:rPr>
        <w:lang w:val="en-C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A16DC"/>
    <w:multiLevelType w:val="hybridMultilevel"/>
    <w:tmpl w:val="7CF8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D2"/>
    <w:rsid w:val="00017C83"/>
    <w:rsid w:val="00054F5A"/>
    <w:rsid w:val="00064CC0"/>
    <w:rsid w:val="000A7528"/>
    <w:rsid w:val="00101EC7"/>
    <w:rsid w:val="00156E05"/>
    <w:rsid w:val="001E151F"/>
    <w:rsid w:val="002C713A"/>
    <w:rsid w:val="002F0075"/>
    <w:rsid w:val="002F13AC"/>
    <w:rsid w:val="0031091D"/>
    <w:rsid w:val="0033339A"/>
    <w:rsid w:val="003C16AB"/>
    <w:rsid w:val="00453D52"/>
    <w:rsid w:val="005A010A"/>
    <w:rsid w:val="005D05D2"/>
    <w:rsid w:val="00634832"/>
    <w:rsid w:val="006934A4"/>
    <w:rsid w:val="006A66DF"/>
    <w:rsid w:val="00837273"/>
    <w:rsid w:val="00880660"/>
    <w:rsid w:val="008F5435"/>
    <w:rsid w:val="00915897"/>
    <w:rsid w:val="00A71AA4"/>
    <w:rsid w:val="00AB24F8"/>
    <w:rsid w:val="00AB4424"/>
    <w:rsid w:val="00AF6439"/>
    <w:rsid w:val="00B42A1C"/>
    <w:rsid w:val="00BA72D1"/>
    <w:rsid w:val="00C20FEF"/>
    <w:rsid w:val="00C31D95"/>
    <w:rsid w:val="00C46F93"/>
    <w:rsid w:val="00C6009F"/>
    <w:rsid w:val="00C87132"/>
    <w:rsid w:val="00CF754E"/>
    <w:rsid w:val="00D473E6"/>
    <w:rsid w:val="00D56E34"/>
    <w:rsid w:val="00D645D5"/>
    <w:rsid w:val="00D73729"/>
    <w:rsid w:val="00DD30C8"/>
    <w:rsid w:val="00DD768A"/>
    <w:rsid w:val="00E921EA"/>
    <w:rsid w:val="00EB4C64"/>
    <w:rsid w:val="00EF2994"/>
    <w:rsid w:val="00F31A97"/>
    <w:rsid w:val="00FC44C5"/>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28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4A4"/>
    <w:pPr>
      <w:tabs>
        <w:tab w:val="center" w:pos="4680"/>
        <w:tab w:val="right" w:pos="9360"/>
      </w:tabs>
    </w:pPr>
  </w:style>
  <w:style w:type="character" w:customStyle="1" w:styleId="HeaderChar">
    <w:name w:val="Header Char"/>
    <w:basedOn w:val="DefaultParagraphFont"/>
    <w:link w:val="Header"/>
    <w:uiPriority w:val="99"/>
    <w:rsid w:val="006934A4"/>
  </w:style>
  <w:style w:type="paragraph" w:styleId="Footer">
    <w:name w:val="footer"/>
    <w:basedOn w:val="Normal"/>
    <w:link w:val="FooterChar"/>
    <w:uiPriority w:val="99"/>
    <w:unhideWhenUsed/>
    <w:rsid w:val="006934A4"/>
    <w:pPr>
      <w:tabs>
        <w:tab w:val="center" w:pos="4680"/>
        <w:tab w:val="right" w:pos="9360"/>
      </w:tabs>
    </w:pPr>
  </w:style>
  <w:style w:type="character" w:customStyle="1" w:styleId="FooterChar">
    <w:name w:val="Footer Char"/>
    <w:basedOn w:val="DefaultParagraphFont"/>
    <w:link w:val="Footer"/>
    <w:uiPriority w:val="99"/>
    <w:rsid w:val="006934A4"/>
  </w:style>
  <w:style w:type="paragraph" w:styleId="FootnoteText">
    <w:name w:val="footnote text"/>
    <w:basedOn w:val="Normal"/>
    <w:link w:val="FootnoteTextChar"/>
    <w:uiPriority w:val="99"/>
    <w:unhideWhenUsed/>
    <w:rsid w:val="00D73729"/>
  </w:style>
  <w:style w:type="character" w:customStyle="1" w:styleId="FootnoteTextChar">
    <w:name w:val="Footnote Text Char"/>
    <w:basedOn w:val="DefaultParagraphFont"/>
    <w:link w:val="FootnoteText"/>
    <w:uiPriority w:val="99"/>
    <w:rsid w:val="00D73729"/>
  </w:style>
  <w:style w:type="character" w:styleId="FootnoteReference">
    <w:name w:val="footnote reference"/>
    <w:basedOn w:val="DefaultParagraphFont"/>
    <w:uiPriority w:val="99"/>
    <w:unhideWhenUsed/>
    <w:rsid w:val="00D73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A26880-F801-294A-BC74-895B1D9D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478</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Read</dc:creator>
  <cp:keywords/>
  <dc:description/>
  <cp:lastModifiedBy>Stephanie Read</cp:lastModifiedBy>
  <cp:revision>29</cp:revision>
  <dcterms:created xsi:type="dcterms:W3CDTF">2016-11-04T16:00:00Z</dcterms:created>
  <dcterms:modified xsi:type="dcterms:W3CDTF">2016-12-10T06:27:00Z</dcterms:modified>
</cp:coreProperties>
</file>